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</w:rPr>
        <w:drawing>
          <wp:inline distB="114300" distT="114300" distL="114300" distR="114300">
            <wp:extent cx="1581150" cy="1476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rFonts w:ascii="Cambria" w:cs="Cambria" w:eastAsia="Cambria" w:hAnsi="Cambria"/>
          <w:b w:val="1"/>
          <w:sz w:val="34"/>
          <w:szCs w:val="34"/>
        </w:rPr>
      </w:pP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rtl w:val="0"/>
        </w:rPr>
        <w:t xml:space="preserve">Nevada Joint Union High School District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REQUEST FOR QUALIFICATIONS</w:t>
      </w:r>
    </w:p>
    <w:p w:rsidR="00000000" w:rsidDel="00000000" w:rsidP="00000000" w:rsidRDefault="00000000" w:rsidRPr="00000000" w14:paraId="00000004">
      <w:pPr>
        <w:widowControl w:val="0"/>
        <w:spacing w:before="1" w:line="459" w:lineRule="auto"/>
        <w:ind w:left="1146" w:right="685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For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719" w:right="261" w:firstLine="7.000000000000028"/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Construction Management Multi-Prime Services for  New Construction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ADDENDUM 01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11/18/2021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(Added)DVBE: The District strives to exceed minimum DVBE thresholds. The work under this contract shall comply with Disabled Veterans Business Enterprise Criteria related to bidding and public contracting.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